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77" w:rsidRDefault="00E32CE0">
      <w:pPr>
        <w:pStyle w:val="Ttulo1"/>
        <w:keepNext w:val="0"/>
        <w:keepLines w:val="0"/>
        <w:spacing w:before="480" w:line="240" w:lineRule="auto"/>
        <w:jc w:val="center"/>
        <w:rPr>
          <w:b/>
          <w:bCs/>
          <w:sz w:val="46"/>
          <w:szCs w:val="46"/>
        </w:rPr>
      </w:pPr>
      <w:bookmarkStart w:id="0" w:name="_207918p3xesp" w:colFirst="0" w:colLast="0"/>
      <w:bookmarkEnd w:id="0"/>
      <w:r>
        <w:rPr>
          <w:b/>
          <w:bCs/>
          <w:sz w:val="46"/>
          <w:szCs w:val="46"/>
        </w:rPr>
        <w:t>PROYECTO ABP 2026</w:t>
      </w:r>
    </w:p>
    <w:p w:rsidR="00AE0D77" w:rsidRDefault="00E32CE0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Eje Transversal Institucional:</w:t>
      </w:r>
      <w:r>
        <w:t xml:space="preserve"> </w:t>
      </w:r>
      <w:r>
        <w:rPr>
          <w:i/>
          <w:iCs/>
        </w:rPr>
        <w:t>"El Mundial de Fútbol"</w:t>
      </w:r>
      <w:r>
        <w:t xml:space="preserve"> </w:t>
      </w:r>
      <w:r>
        <w:rPr>
          <w:b/>
          <w:bCs/>
        </w:rPr>
        <w:t>Evento de Cierre:</w:t>
      </w:r>
      <w:r>
        <w:t xml:space="preserve"> Muestra Anual Institucional: </w:t>
      </w:r>
      <w:r>
        <w:rPr>
          <w:b/>
          <w:bCs/>
        </w:rPr>
        <w:t>___________________________</w:t>
      </w:r>
    </w:p>
    <w:p w:rsidR="00AE0D77" w:rsidRDefault="00AE0D77">
      <w:pPr>
        <w:spacing w:line="240" w:lineRule="auto"/>
        <w:jc w:val="both"/>
      </w:pPr>
    </w:p>
    <w:p w:rsidR="00AE0D77" w:rsidRDefault="00AE0D77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0605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6555"/>
      </w:tblGrid>
      <w:tr w:rsidR="00AE0D77">
        <w:trPr>
          <w:trHeight w:val="240"/>
        </w:trPr>
        <w:tc>
          <w:tcPr>
            <w:tcW w:w="10605" w:type="dxa"/>
            <w:gridSpan w:val="2"/>
          </w:tcPr>
          <w:p w:rsidR="00AE0D77" w:rsidRDefault="00E32CE0">
            <w:pPr>
              <w:spacing w:after="160" w:line="259" w:lineRule="auto"/>
              <w:ind w:hanging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COLEGIO SECUNDARIO N° 5.035  “BATALLA DE SALTA”</w:t>
            </w:r>
          </w:p>
        </w:tc>
      </w:tr>
      <w:tr w:rsidR="00AE0D77">
        <w:tc>
          <w:tcPr>
            <w:tcW w:w="4050" w:type="dxa"/>
          </w:tcPr>
          <w:p w:rsidR="00AE0D77" w:rsidRDefault="00E32CE0">
            <w:pPr>
              <w:spacing w:after="160" w:line="259" w:lineRule="auto"/>
              <w:ind w:left="2" w:hanging="4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rr47szdp5jd1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ESPACIOS CURRICULARES:</w:t>
            </w: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E32CE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CURSOS – DIVISIONES – TURNO - 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2° 2da</w:t>
            </w:r>
          </w:p>
        </w:tc>
      </w:tr>
      <w:tr w:rsidR="00AE0D77">
        <w:trPr>
          <w:trHeight w:val="240"/>
        </w:trPr>
        <w:tc>
          <w:tcPr>
            <w:tcW w:w="4050" w:type="dxa"/>
            <w:vMerge w:val="restart"/>
          </w:tcPr>
          <w:p w:rsidR="00AE0D77" w:rsidRDefault="00E32CE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DOCENTES RESPONSABLES:</w:t>
            </w: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Daniela Canda</w:t>
            </w:r>
            <w:r w:rsidR="006C1B4D">
              <w:rPr>
                <w:rFonts w:ascii="Calibri" w:eastAsia="Calibri" w:hAnsi="Calibri" w:cs="Calibri"/>
                <w:sz w:val="24"/>
                <w:szCs w:val="24"/>
              </w:rPr>
              <w:t xml:space="preserve"> y </w:t>
            </w:r>
            <w:bookmarkStart w:id="2" w:name="_GoBack"/>
            <w:bookmarkEnd w:id="2"/>
            <w:r w:rsidR="006C1B4D">
              <w:rPr>
                <w:rFonts w:ascii="Calibri" w:eastAsia="Calibri" w:hAnsi="Calibri" w:cs="Calibri"/>
                <w:sz w:val="24"/>
                <w:szCs w:val="24"/>
              </w:rPr>
              <w:t>Graciela Cruz</w:t>
            </w:r>
          </w:p>
        </w:tc>
      </w:tr>
      <w:tr w:rsidR="00AE0D77">
        <w:trPr>
          <w:trHeight w:val="240"/>
        </w:trPr>
        <w:tc>
          <w:tcPr>
            <w:tcW w:w="4050" w:type="dxa"/>
            <w:vMerge/>
          </w:tcPr>
          <w:p w:rsidR="00AE0D77" w:rsidRDefault="00AE0D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rPr>
          <w:trHeight w:val="240"/>
        </w:trPr>
        <w:tc>
          <w:tcPr>
            <w:tcW w:w="4050" w:type="dxa"/>
            <w:vMerge/>
          </w:tcPr>
          <w:p w:rsidR="00AE0D77" w:rsidRDefault="00AE0D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E32CE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 DEL PROYECTO</w:t>
            </w: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 Mundial desde la Educación Artística- Teatro.</w:t>
            </w:r>
          </w:p>
        </w:tc>
      </w:tr>
      <w:tr w:rsidR="00AE0D77">
        <w:tc>
          <w:tcPr>
            <w:tcW w:w="4050" w:type="dxa"/>
          </w:tcPr>
          <w:p w:rsidR="00AE0D77" w:rsidRDefault="00E32CE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ÁREAS INVOLUCRADAS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Eduación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Artística</w:t>
            </w:r>
          </w:p>
        </w:tc>
      </w:tr>
      <w:tr w:rsidR="00AE0D77"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1. El Desafío (Pregunta Guía)</w:t>
            </w:r>
          </w:p>
        </w:tc>
        <w:tc>
          <w:tcPr>
            <w:tcW w:w="6555" w:type="dxa"/>
          </w:tcPr>
          <w:p w:rsidR="00AE0D77" w:rsidRDefault="00E32CE0">
            <w:pPr>
              <w:spacing w:after="480" w:line="276" w:lineRule="auto"/>
              <w:jc w:val="both"/>
              <w:rPr>
                <w:i/>
                <w:iCs/>
                <w:color w:val="1F1F1F"/>
              </w:rPr>
            </w:pPr>
            <w:proofErr w:type="gramStart"/>
            <w:r w:rsidRPr="00E32CE0">
              <w:rPr>
                <w:i/>
                <w:iCs/>
                <w:color w:val="1F1F1F"/>
              </w:rPr>
              <w:t>¿</w:t>
            </w:r>
            <w:proofErr w:type="gramEnd"/>
            <w:r w:rsidRPr="00E32CE0">
              <w:rPr>
                <w:i/>
                <w:iCs/>
                <w:color w:val="1F1F1F"/>
              </w:rPr>
              <w:t>Cuáles son los elementos característicos de la canchita que forman parte de la cotidianeidad de adolescentes y jóvenes?, ¿qué sentidos proponen estos elementos para la producción artística en las d</w:t>
            </w:r>
            <w:r>
              <w:rPr>
                <w:i/>
                <w:iCs/>
                <w:color w:val="1F1F1F"/>
              </w:rPr>
              <w:t>iferentes disciplinas/lenguajes.</w:t>
            </w:r>
          </w:p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2. Saberes en Acción (Contenidos)</w:t>
            </w:r>
          </w:p>
        </w:tc>
        <w:tc>
          <w:tcPr>
            <w:tcW w:w="65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i/>
                <w:iCs/>
                <w:color w:val="1F1F1F"/>
              </w:rPr>
              <w:t>Enumere los contenidos del diseño curricular que se abordarán en este proyecto:</w:t>
            </w:r>
          </w:p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color w:val="1F1F1F"/>
              </w:rPr>
              <w:t>1.</w:t>
            </w:r>
            <w:r>
              <w:t xml:space="preserve"> </w:t>
            </w:r>
            <w:r w:rsidRPr="00E32CE0">
              <w:rPr>
                <w:color w:val="1F1F1F"/>
              </w:rPr>
              <w:t>Espacio: Distancia – Proximidad – Puntos – Líneas y curvas – Agrupamientos – Trayectorias – Puntos de vista</w:t>
            </w:r>
          </w:p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color w:val="1F1F1F"/>
              </w:rPr>
              <w:t>2.</w:t>
            </w:r>
            <w:r>
              <w:t xml:space="preserve"> </w:t>
            </w:r>
            <w:r w:rsidRPr="00E32CE0">
              <w:rPr>
                <w:color w:val="1F1F1F"/>
              </w:rPr>
              <w:t>Tiempo: Duración – Velocidad – Intensidad – Ritmo</w:t>
            </w:r>
          </w:p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color w:val="1F1F1F"/>
              </w:rPr>
              <w:t>3.</w:t>
            </w:r>
            <w:r>
              <w:t xml:space="preserve"> </w:t>
            </w:r>
            <w:r w:rsidRPr="00E32CE0">
              <w:rPr>
                <w:color w:val="1F1F1F"/>
              </w:rPr>
              <w:t>Relato: Relato ficcional – Relato poético.</w:t>
            </w:r>
          </w:p>
        </w:tc>
      </w:tr>
      <w:tr w:rsidR="00AE0D77" w:rsidTr="00E32CE0">
        <w:trPr>
          <w:trHeight w:val="716"/>
        </w:trPr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E32CE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lastRenderedPageBreak/>
              <w:t>3. Cronograma de Integración</w:t>
            </w:r>
          </w:p>
        </w:tc>
        <w:tc>
          <w:tcPr>
            <w:tcW w:w="65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E32CE0" w:rsidRDefault="00E32CE0">
            <w:pPr>
              <w:spacing w:after="480" w:line="276" w:lineRule="auto"/>
              <w:jc w:val="both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 xml:space="preserve">Meses: </w:t>
            </w:r>
            <w:r w:rsidRPr="00E32CE0">
              <w:rPr>
                <w:bCs/>
                <w:color w:val="1F1F1F"/>
              </w:rPr>
              <w:t>1er, 2do y 3er Trimestre.</w:t>
            </w:r>
          </w:p>
        </w:tc>
      </w:tr>
      <w:tr w:rsidR="00AE0D77">
        <w:tc>
          <w:tcPr>
            <w:tcW w:w="4050" w:type="dxa"/>
          </w:tcPr>
          <w:p w:rsidR="00AE0D77" w:rsidRDefault="00E32CE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ACTIVIDADES A DESARROLLAR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Como punto de partida se propone considerar: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1. Elementos característicos del fútbol: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Pelota – Arco – Gol – Identidades – Colores – Rivalidad – Amistad – Rituales – Juego – Banderas – Tribunas – Equipos – Hinchadas – Países – Continentes – Potrero – Cancha – Pase – Córner – Centro – Dentro y fuera de la cancha – Línea – Lateral – Silbato – Tarjetas – Gambeta – Jueguitos – Amague – Cabecear – Mano – Infracción.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2. Frases propias del ámbito futbolístico: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“La pelota no se mancha” – "Salir a buscar el partido" – “Dibuje maestro” – “</w:t>
            </w:r>
            <w:proofErr w:type="spellStart"/>
            <w:r w:rsidRPr="00E32CE0">
              <w:rPr>
                <w:rFonts w:ascii="Calibri" w:eastAsia="Calibri" w:hAnsi="Calibri" w:cs="Calibri"/>
                <w:sz w:val="24"/>
                <w:szCs w:val="24"/>
              </w:rPr>
              <w:t>Tirame</w:t>
            </w:r>
            <w:proofErr w:type="spellEnd"/>
            <w:r w:rsidRPr="00E32CE0">
              <w:rPr>
                <w:rFonts w:ascii="Calibri" w:eastAsia="Calibri" w:hAnsi="Calibri" w:cs="Calibri"/>
                <w:sz w:val="24"/>
                <w:szCs w:val="24"/>
              </w:rPr>
              <w:t xml:space="preserve"> un centro” – “Ningún jugador es tan bueno como todos juntos” – “La tiró a los caños” – “Ni la vio” – "Tiempo de descuento" – "Último minuto" – "¡Penal!" – "Doble amarilla".</w:t>
            </w:r>
          </w:p>
          <w:p w:rsidR="00AE0D77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Se propone sumar otras que puedan ser aportadas por las y los estudiantes.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En función del marco propuesto, y después de haber explorado e investigado los puntos 1, 2 y 3 se propone que se desarrollen producciones artísticas colectivamente o grupalmente (según la edad del grupo al que se dirija la propuesta. Se sugiere que estas producciones, finalmente, puedan ser socializadas en el marco institucional y comunitario a través de la página del establecimiento, (para esto, siempre será necesario contar con la autorización respectiva para la difusión de las imágenes).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Ejemplo para el abordaje de la propuesta: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1. </w:t>
            </w:r>
            <w:r w:rsidRPr="00E32CE0">
              <w:rPr>
                <w:rFonts w:ascii="Calibri" w:eastAsia="Calibri" w:hAnsi="Calibri" w:cs="Calibri"/>
                <w:sz w:val="24"/>
                <w:szCs w:val="24"/>
              </w:rPr>
              <w:t>Leer las palabras del grupo 1 y las frases del grupo 2, y agregar las que se consideren necesarias.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2. </w:t>
            </w:r>
            <w:r w:rsidRPr="00E32CE0">
              <w:rPr>
                <w:rFonts w:ascii="Calibri" w:eastAsia="Calibri" w:hAnsi="Calibri" w:cs="Calibri"/>
                <w:sz w:val="24"/>
                <w:szCs w:val="24"/>
              </w:rPr>
              <w:t>Seleccionar palabras de cada grupo y contenidos del grupo 3 para abordarlos desde cada disciplina.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E32CE0">
              <w:rPr>
                <w:rFonts w:ascii="Calibri" w:eastAsia="Calibri" w:hAnsi="Calibri" w:cs="Calibri"/>
                <w:sz w:val="24"/>
                <w:szCs w:val="24"/>
              </w:rPr>
              <w:t>En el caso de Teatro, por ejemplo, sería posible:</w:t>
            </w:r>
          </w:p>
          <w:p w:rsidR="00E32CE0" w:rsidRP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• </w:t>
            </w:r>
            <w:r w:rsidRPr="00E32CE0">
              <w:rPr>
                <w:rFonts w:ascii="Calibri" w:eastAsia="Calibri" w:hAnsi="Calibri" w:cs="Calibri"/>
                <w:sz w:val="24"/>
                <w:szCs w:val="24"/>
              </w:rPr>
              <w:t>Observar la imagen de “la cancha”  del libro Dibujo Anatómico de Peter Jenny, considerando la disposición espacial, distancia, proximidad, agrupamientos y focalizaciones de las figuras humanas y realizar improvisaciones con resolución de conflictos, creación de personajes, espacio escénico, trabajo con objetos imaginarios o reales.</w:t>
            </w:r>
          </w:p>
          <w:p w:rsidR="00AE0D77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•</w:t>
            </w:r>
            <w:r w:rsidRPr="00E32CE0">
              <w:rPr>
                <w:rFonts w:ascii="Calibri" w:eastAsia="Calibri" w:hAnsi="Calibri" w:cs="Calibri"/>
                <w:sz w:val="24"/>
                <w:szCs w:val="24"/>
              </w:rPr>
              <w:t xml:space="preserve"> A partir de la observación y exploración de dichos contenidos, crear  escenas, sonoro, corporal que se vincule con las palabras y frases seleccionadas de los grupos 1 y 2.</w:t>
            </w:r>
          </w:p>
        </w:tc>
      </w:tr>
      <w:tr w:rsidR="00AE0D77">
        <w:tc>
          <w:tcPr>
            <w:tcW w:w="4050" w:type="dxa"/>
          </w:tcPr>
          <w:p w:rsidR="00AE0D77" w:rsidRDefault="00E32CE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EVALUACIÓN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del alumno. Definir actividades e instrumentos de evaluación</w:t>
            </w:r>
          </w:p>
        </w:tc>
        <w:tc>
          <w:tcPr>
            <w:tcW w:w="6555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Ejemplos: portafolio, lista de cotejo, rúbricas</w:t>
            </w: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ESPACIOS</w:t>
            </w:r>
          </w:p>
        </w:tc>
        <w:tc>
          <w:tcPr>
            <w:tcW w:w="6555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Aula, patio, espacios verdes.</w:t>
            </w: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RECURSOS</w:t>
            </w:r>
          </w:p>
        </w:tc>
        <w:tc>
          <w:tcPr>
            <w:tcW w:w="6555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Pelotas, camisetas, </w:t>
            </w: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PARTICIPANTES </w:t>
            </w:r>
          </w:p>
        </w:tc>
        <w:tc>
          <w:tcPr>
            <w:tcW w:w="6555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Invitados especiales, padres u otras instituciones escolares</w:t>
            </w: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 DE TODOS LOS RESPONSABLES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AE0D77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32CE0" w:rsidRDefault="00E32CE0" w:rsidP="00E32CE0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E32CE0" w:rsidRDefault="00E32CE0" w:rsidP="00E32CE0">
      <w:pPr>
        <w:spacing w:line="240" w:lineRule="auto"/>
      </w:pPr>
    </w:p>
    <w:p w:rsidR="00E32CE0" w:rsidRDefault="00E32CE0" w:rsidP="00E32CE0">
      <w:pPr>
        <w:spacing w:line="240" w:lineRule="auto"/>
      </w:pPr>
      <w:r>
        <w:t>A continuación se comparten referencias que se pueden consultar como marco de las propuestas que se desarrollen. Se invita también a indagar otras.</w:t>
      </w:r>
    </w:p>
    <w:p w:rsidR="00E32CE0" w:rsidRDefault="00E32CE0" w:rsidP="00E32CE0">
      <w:pPr>
        <w:spacing w:line="240" w:lineRule="auto"/>
        <w:jc w:val="both"/>
      </w:pPr>
      <w:r>
        <w:t xml:space="preserve">• </w:t>
      </w:r>
      <w:proofErr w:type="spellStart"/>
      <w:r>
        <w:t>Sacheri</w:t>
      </w:r>
      <w:proofErr w:type="spellEnd"/>
      <w:r>
        <w:t>, E. (2005) Esperándolo a Tito y otros cuentos de fútbol. Editorial Galerna.</w:t>
      </w:r>
    </w:p>
    <w:p w:rsidR="00E32CE0" w:rsidRDefault="00E32CE0" w:rsidP="00E32CE0">
      <w:pPr>
        <w:spacing w:line="240" w:lineRule="auto"/>
        <w:jc w:val="both"/>
      </w:pPr>
      <w:r>
        <w:t xml:space="preserve">• Obra de danza </w:t>
      </w:r>
      <w:proofErr w:type="spellStart"/>
      <w:r>
        <w:t>Tangol</w:t>
      </w:r>
      <w:proofErr w:type="spellEnd"/>
      <w:r>
        <w:t>, de Miguel Retamar.</w:t>
      </w:r>
    </w:p>
    <w:p w:rsidR="00E32CE0" w:rsidRDefault="00E32CE0" w:rsidP="00E32CE0">
      <w:pPr>
        <w:spacing w:line="240" w:lineRule="auto"/>
        <w:jc w:val="both"/>
      </w:pPr>
      <w:r>
        <w:t>• Galeano, E. (1995) El fútbol a sol y sombra. Siglo XXI Editores.</w:t>
      </w:r>
    </w:p>
    <w:p w:rsidR="00E32CE0" w:rsidRDefault="00E32CE0" w:rsidP="00E32CE0">
      <w:pPr>
        <w:spacing w:line="240" w:lineRule="auto"/>
        <w:jc w:val="both"/>
      </w:pPr>
      <w:r>
        <w:t xml:space="preserve">• Ciclo “Y el fútbol contó un cuento” (relato de cuentos a cargo de Alejandro </w:t>
      </w:r>
      <w:proofErr w:type="spellStart"/>
      <w:r>
        <w:t>Apo</w:t>
      </w:r>
      <w:proofErr w:type="spellEnd"/>
      <w:r>
        <w:t>). Es posible encontrar los cuentos de este ciclo en YouTube.</w:t>
      </w:r>
    </w:p>
    <w:p w:rsidR="00AE0D77" w:rsidRDefault="00E32CE0" w:rsidP="00E32CE0">
      <w:pPr>
        <w:spacing w:line="240" w:lineRule="auto"/>
        <w:jc w:val="both"/>
      </w:pPr>
      <w:r>
        <w:t>•  Peter, Jenny (2013) Dibujo Anatómico. Editorial GG.</w:t>
      </w:r>
    </w:p>
    <w:sectPr w:rsidR="00AE0D7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F7D88A-809C-4FCB-8016-66913D63D276}"/>
    <w:embedBold r:id="rId2" w:fontKey="{D03D86D4-4D41-4B26-A0C1-F83489AC4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684E78-D9BC-4AD5-900A-78AA2BBC5A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E0D77"/>
    <w:rsid w:val="006C1B4D"/>
    <w:rsid w:val="00AE0D77"/>
    <w:rsid w:val="00E3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626</Words>
  <Characters>3444</Characters>
  <Application>Microsoft Office Word</Application>
  <DocSecurity>0</DocSecurity>
  <Lines>28</Lines>
  <Paragraphs>8</Paragraphs>
  <ScaleCrop>false</ScaleCrop>
  <Company>Luffi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Luffi</cp:lastModifiedBy>
  <cp:revision>3</cp:revision>
  <dcterms:created xsi:type="dcterms:W3CDTF">2026-03-11T16:32:00Z</dcterms:created>
  <dcterms:modified xsi:type="dcterms:W3CDTF">2026-03-17T18:00:00Z</dcterms:modified>
</cp:coreProperties>
</file>